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12A" w:rsidRPr="000F7F03" w:rsidRDefault="00BA1E3A" w:rsidP="00BA1E3A">
      <w:pPr>
        <w:jc w:val="center"/>
        <w:rPr>
          <w:rFonts w:ascii="Book Antiqua" w:hAnsi="Book Antiqua"/>
          <w:b/>
        </w:rPr>
      </w:pPr>
      <w:r w:rsidRPr="000F7F03">
        <w:rPr>
          <w:rFonts w:ascii="Book Antiqua" w:hAnsi="Book Antiqua"/>
          <w:b/>
        </w:rPr>
        <w:t>RESPONSABILITA’ CIVILE, RIFERIMENTI NORMATIVI</w:t>
      </w:r>
    </w:p>
    <w:p w:rsidR="00BA1E3A" w:rsidRPr="000F7F03" w:rsidRDefault="00BA1E3A" w:rsidP="00BA1E3A">
      <w:pPr>
        <w:jc w:val="both"/>
        <w:rPr>
          <w:rFonts w:ascii="Book Antiqua" w:hAnsi="Book Antiqua"/>
          <w:b/>
        </w:rPr>
      </w:pPr>
    </w:p>
    <w:p w:rsidR="00BA1E3A" w:rsidRPr="000F7F03" w:rsidRDefault="00BA1E3A" w:rsidP="00BA1E3A">
      <w:pPr>
        <w:jc w:val="both"/>
        <w:rPr>
          <w:rFonts w:ascii="Book Antiqua" w:hAnsi="Book Antiqua"/>
          <w:b/>
        </w:rPr>
      </w:pPr>
      <w:r w:rsidRPr="000F7F03">
        <w:rPr>
          <w:rFonts w:ascii="Book Antiqua" w:hAnsi="Book Antiqua"/>
          <w:b/>
        </w:rPr>
        <w:t>Codice Civile: artt. 1176, 2222, 2226, 2230 e 2236.</w:t>
      </w:r>
    </w:p>
    <w:p w:rsidR="00BA1E3A" w:rsidRPr="000F7F03" w:rsidRDefault="00BA1E3A" w:rsidP="00BA1E3A">
      <w:pPr>
        <w:jc w:val="both"/>
        <w:rPr>
          <w:rFonts w:ascii="Book Antiqua" w:hAnsi="Book Antiqua"/>
          <w:b/>
        </w:rPr>
      </w:pPr>
    </w:p>
    <w:p w:rsidR="00BA1E3A" w:rsidRPr="000F7F03" w:rsidRDefault="00BA1E3A" w:rsidP="00BA1E3A">
      <w:pPr>
        <w:jc w:val="both"/>
        <w:rPr>
          <w:rFonts w:ascii="Book Antiqua" w:hAnsi="Book Antiqua"/>
          <w:i/>
        </w:rPr>
      </w:pPr>
      <w:r w:rsidRPr="000F7F03">
        <w:rPr>
          <w:rFonts w:ascii="Book Antiqua" w:hAnsi="Book Antiqua"/>
        </w:rPr>
        <w:t xml:space="preserve">Art. 1176 – Diligenza nell’adempimento – </w:t>
      </w:r>
      <w:r w:rsidRPr="000F7F03">
        <w:rPr>
          <w:rFonts w:ascii="Book Antiqua" w:hAnsi="Book Antiqua"/>
          <w:i/>
        </w:rPr>
        <w:t>Nell’adempiere l’obbligazione il debitore deve usare la diligenza del buon padre di famiglia.</w:t>
      </w:r>
    </w:p>
    <w:p w:rsidR="00BA1E3A" w:rsidRPr="000F7F03" w:rsidRDefault="00BA1E3A" w:rsidP="00BA1E3A">
      <w:pPr>
        <w:jc w:val="both"/>
        <w:rPr>
          <w:rFonts w:ascii="Book Antiqua" w:hAnsi="Book Antiqua"/>
          <w:i/>
        </w:rPr>
      </w:pPr>
      <w:r w:rsidRPr="000F7F03">
        <w:rPr>
          <w:rFonts w:ascii="Book Antiqua" w:hAnsi="Book Antiqua"/>
          <w:i/>
        </w:rPr>
        <w:t>Nell’adempimento delle obbligazioni inerenti all’esercizio di un’attività professionale, la diligenza deve valutarsi con riguardo alla natura dell’attività esercitata.</w:t>
      </w:r>
    </w:p>
    <w:p w:rsidR="00BA1E3A" w:rsidRPr="000F7F03" w:rsidRDefault="00BA1E3A" w:rsidP="00BA1E3A">
      <w:pPr>
        <w:jc w:val="both"/>
        <w:rPr>
          <w:rFonts w:ascii="Book Antiqua" w:hAnsi="Book Antiqua"/>
          <w:i/>
        </w:rPr>
      </w:pPr>
      <w:r w:rsidRPr="000F7F03">
        <w:rPr>
          <w:rFonts w:ascii="Book Antiqua" w:hAnsi="Book Antiqua"/>
        </w:rPr>
        <w:t xml:space="preserve">Art. 2222 – Contratto d’opera – </w:t>
      </w:r>
      <w:r w:rsidRPr="000F7F03">
        <w:rPr>
          <w:rFonts w:ascii="Book Antiqua" w:hAnsi="Book Antiqua"/>
          <w:i/>
        </w:rPr>
        <w:t xml:space="preserve">Quanto una persona si obbliga a compiere verso un corrispettivo un’opera o un servizio, con lavoro prevalentemente proprio e senza vincolo di subordinazione nei confronti del committente, </w:t>
      </w:r>
      <w:r w:rsidR="00FF46AC" w:rsidRPr="000F7F03">
        <w:rPr>
          <w:rFonts w:ascii="Book Antiqua" w:hAnsi="Book Antiqua"/>
          <w:i/>
        </w:rPr>
        <w:t>si applicano le norme di questo capo, salvo che il rapporto abbia una disciplina particolare nel libro IV.</w:t>
      </w:r>
    </w:p>
    <w:p w:rsidR="00FF46AC" w:rsidRPr="000F7F03" w:rsidRDefault="00FF46AC" w:rsidP="00BA1E3A">
      <w:pPr>
        <w:jc w:val="both"/>
        <w:rPr>
          <w:rFonts w:ascii="Book Antiqua" w:hAnsi="Book Antiqua"/>
          <w:i/>
        </w:rPr>
      </w:pPr>
      <w:r w:rsidRPr="000F7F03">
        <w:rPr>
          <w:rFonts w:ascii="Book Antiqua" w:hAnsi="Book Antiqua"/>
        </w:rPr>
        <w:t xml:space="preserve">Art. 2226 – Difformità e vizi dell’opera – </w:t>
      </w:r>
      <w:r w:rsidRPr="000F7F03">
        <w:rPr>
          <w:rFonts w:ascii="Book Antiqua" w:hAnsi="Book Antiqua"/>
          <w:i/>
        </w:rPr>
        <w:t>L’accettazione espressa o tacita dell’opera libera il prestatore d’opera dalla responsabilità per difformità o per vizi della medesima, se all’atto dell’accettazione questi erano noti al committente o facilmente riconoscibili, purché in questo caso non siano stati dolosamente occultati.</w:t>
      </w:r>
    </w:p>
    <w:p w:rsidR="00FF46AC" w:rsidRPr="000F7F03" w:rsidRDefault="00FF46AC" w:rsidP="00BA1E3A">
      <w:pPr>
        <w:jc w:val="both"/>
        <w:rPr>
          <w:rFonts w:ascii="Book Antiqua" w:hAnsi="Book Antiqua"/>
          <w:i/>
        </w:rPr>
      </w:pPr>
      <w:r w:rsidRPr="000F7F03">
        <w:rPr>
          <w:rFonts w:ascii="Book Antiqua" w:hAnsi="Book Antiqua"/>
          <w:i/>
        </w:rPr>
        <w:t>Il committente deve, a pena di decadenza, denunziare le difformità e i vizi occulti al prestatore d’opera entro otto giorni dalla scoperta. L’azione si prescrive entro un anno dalla consegna.</w:t>
      </w:r>
    </w:p>
    <w:p w:rsidR="00FF46AC" w:rsidRPr="000F7F03" w:rsidRDefault="00FF46AC" w:rsidP="00BA1E3A">
      <w:pPr>
        <w:jc w:val="both"/>
        <w:rPr>
          <w:rFonts w:ascii="Book Antiqua" w:hAnsi="Book Antiqua"/>
          <w:i/>
        </w:rPr>
      </w:pPr>
      <w:r w:rsidRPr="000F7F03">
        <w:rPr>
          <w:rFonts w:ascii="Book Antiqua" w:hAnsi="Book Antiqua"/>
          <w:i/>
        </w:rPr>
        <w:t>I diritti del committente nel caso di difformità o di vizi dell’opera sono regolati dall’articolo 1668.</w:t>
      </w:r>
    </w:p>
    <w:p w:rsidR="00BA1E3A" w:rsidRPr="000F7F03" w:rsidRDefault="00BA1E3A" w:rsidP="00BA1E3A">
      <w:pPr>
        <w:jc w:val="both"/>
        <w:rPr>
          <w:rFonts w:ascii="Book Antiqua" w:hAnsi="Book Antiqua"/>
          <w:i/>
        </w:rPr>
      </w:pPr>
      <w:r w:rsidRPr="000F7F03">
        <w:rPr>
          <w:rFonts w:ascii="Book Antiqua" w:hAnsi="Book Antiqua"/>
        </w:rPr>
        <w:t xml:space="preserve">Art. 2230 – Prestazione d’opera intellettuale – </w:t>
      </w:r>
      <w:r w:rsidRPr="000F7F03">
        <w:rPr>
          <w:rFonts w:ascii="Book Antiqua" w:hAnsi="Book Antiqua"/>
          <w:i/>
        </w:rPr>
        <w:t>Il contratto che ha per oggetto una prestazione d’opera intellettuale è regolato dalle norme seguenti e, in quanto compatibili con queste e con la natura del rapporto, dalle disposizioni del capo precedente.</w:t>
      </w:r>
    </w:p>
    <w:p w:rsidR="00BA1E3A" w:rsidRPr="000F7F03" w:rsidRDefault="00BA1E3A" w:rsidP="00BA1E3A">
      <w:pPr>
        <w:jc w:val="both"/>
        <w:rPr>
          <w:rFonts w:ascii="Book Antiqua" w:hAnsi="Book Antiqua"/>
          <w:i/>
        </w:rPr>
      </w:pPr>
      <w:r w:rsidRPr="000F7F03">
        <w:rPr>
          <w:rFonts w:ascii="Book Antiqua" w:hAnsi="Book Antiqua"/>
          <w:i/>
        </w:rPr>
        <w:t>Sono salve le disposizioni delle leggi speciali.</w:t>
      </w:r>
    </w:p>
    <w:p w:rsidR="00921F31" w:rsidRPr="000F7F03" w:rsidRDefault="00921F31" w:rsidP="00BA1E3A">
      <w:pPr>
        <w:jc w:val="both"/>
        <w:rPr>
          <w:rFonts w:ascii="Book Antiqua" w:hAnsi="Book Antiqua"/>
          <w:i/>
        </w:rPr>
      </w:pPr>
    </w:p>
    <w:p w:rsidR="00921F31" w:rsidRPr="000F7F03" w:rsidRDefault="00921F31" w:rsidP="00BA1E3A">
      <w:pPr>
        <w:jc w:val="both"/>
        <w:rPr>
          <w:rFonts w:ascii="Book Antiqua" w:hAnsi="Book Antiqua"/>
          <w:i/>
        </w:rPr>
      </w:pPr>
      <w:r w:rsidRPr="000F7F03">
        <w:rPr>
          <w:rFonts w:ascii="Book Antiqua" w:hAnsi="Book Antiqua"/>
        </w:rPr>
        <w:t xml:space="preserve">Art. 2236 – Responsabilità del prestatore d’opera – </w:t>
      </w:r>
      <w:r w:rsidRPr="000F7F03">
        <w:rPr>
          <w:rFonts w:ascii="Book Antiqua" w:hAnsi="Book Antiqua"/>
          <w:i/>
        </w:rPr>
        <w:t>Se la prestazione implica la soluzione di problemi tecnici di speciale difficoltà, il prestatore d’opera non risponde dei danni, se non in caso di dolo o di colpa grave.</w:t>
      </w:r>
    </w:p>
    <w:p w:rsidR="00921F31" w:rsidRPr="000F7F03" w:rsidRDefault="00921F31" w:rsidP="00BA1E3A">
      <w:pPr>
        <w:jc w:val="both"/>
        <w:rPr>
          <w:rFonts w:ascii="Book Antiqua" w:hAnsi="Book Antiqua"/>
          <w:i/>
        </w:rPr>
      </w:pPr>
    </w:p>
    <w:p w:rsidR="00921F31" w:rsidRPr="000F7F03" w:rsidRDefault="00921F31" w:rsidP="00BA1E3A">
      <w:pPr>
        <w:jc w:val="both"/>
        <w:rPr>
          <w:rFonts w:ascii="Book Antiqua" w:hAnsi="Book Antiqua"/>
        </w:rPr>
      </w:pPr>
      <w:r w:rsidRPr="000F7F03">
        <w:rPr>
          <w:rFonts w:ascii="Book Antiqua" w:hAnsi="Book Antiqua"/>
          <w:b/>
        </w:rPr>
        <w:t xml:space="preserve">Codice dei Contratti pubblici (d. </w:t>
      </w:r>
      <w:proofErr w:type="spellStart"/>
      <w:r w:rsidRPr="000F7F03">
        <w:rPr>
          <w:rFonts w:ascii="Book Antiqua" w:hAnsi="Book Antiqua"/>
          <w:b/>
        </w:rPr>
        <w:t>lgs</w:t>
      </w:r>
      <w:proofErr w:type="spellEnd"/>
      <w:r w:rsidRPr="000F7F03">
        <w:rPr>
          <w:rFonts w:ascii="Book Antiqua" w:hAnsi="Book Antiqua"/>
          <w:b/>
        </w:rPr>
        <w:t>. 12 aprile 2006, n. 163) artt. 111 e 112.</w:t>
      </w:r>
      <w:r w:rsidRPr="000F7F03">
        <w:rPr>
          <w:rFonts w:ascii="Book Antiqua" w:hAnsi="Book Antiqua"/>
        </w:rPr>
        <w:t xml:space="preserve"> </w:t>
      </w:r>
    </w:p>
    <w:p w:rsidR="00921F31" w:rsidRPr="00921F31" w:rsidRDefault="00921F31" w:rsidP="00433FF5">
      <w:pPr>
        <w:jc w:val="both"/>
        <w:rPr>
          <w:rFonts w:ascii="Book Antiqua" w:hAnsi="Book Antiqua"/>
          <w:i/>
        </w:rPr>
      </w:pPr>
      <w:r w:rsidRPr="000F7F03">
        <w:rPr>
          <w:rFonts w:ascii="Book Antiqua" w:hAnsi="Book Antiqua"/>
        </w:rPr>
        <w:t xml:space="preserve">Art. 111 – Garanzie che devono prestare i progettisti – </w:t>
      </w:r>
      <w:r w:rsidRPr="000F7F03">
        <w:rPr>
          <w:rFonts w:ascii="Book Antiqua" w:hAnsi="Book Antiqua"/>
          <w:i/>
        </w:rPr>
        <w:t xml:space="preserve">Nei contratti relativi a lavori, il progettista o i progettisti incaricati della progettazione posta a base di gara e in ogni caso della progettazione esecutiva devono essere muniti, a far data dall’approvazione rispettivamente del progetto posto a base di gara e del progetto esecutivo, di una polizza di responsabilità civile professionale </w:t>
      </w:r>
      <w:r w:rsidRPr="00921F31">
        <w:rPr>
          <w:rFonts w:ascii="Book Antiqua" w:eastAsia="Times New Roman" w:hAnsi="Book Antiqua" w:cs="Times New Roman"/>
          <w:i/>
          <w:lang w:eastAsia="it-IT"/>
        </w:rPr>
        <w:t>per i rischi derivanti dallo svolgimento delle attività di propria competenza, per tutta la durata dei lavori e sino alla data di emissione del certificato di collaudo provvisorio. La polizza del progettista o dei progettisti deve coprire, oltre alle nuove spese di progettazione, anche i maggiori costi che la stazione appaltante deve sopportare per le varianti di cui all'</w:t>
      </w:r>
      <w:hyperlink r:id="rId5" w:history="1">
        <w:r w:rsidRPr="000F7F03">
          <w:rPr>
            <w:rFonts w:ascii="Book Antiqua" w:eastAsia="Times New Roman" w:hAnsi="Book Antiqua" w:cs="Times New Roman"/>
            <w:i/>
            <w:color w:val="0000FF"/>
            <w:u w:val="single"/>
            <w:lang w:eastAsia="it-IT"/>
          </w:rPr>
          <w:t>articolo 132</w:t>
        </w:r>
      </w:hyperlink>
      <w:r w:rsidRPr="00921F31">
        <w:rPr>
          <w:rFonts w:ascii="Book Antiqua" w:eastAsia="Times New Roman" w:hAnsi="Book Antiqua" w:cs="Times New Roman"/>
          <w:i/>
          <w:lang w:eastAsia="it-IT"/>
        </w:rPr>
        <w:t xml:space="preserve">, comma 1, lettera e), resesi necessarie in corso di esecuzione. La garanzia è prestata per un </w:t>
      </w:r>
      <w:r w:rsidRPr="00921F31">
        <w:rPr>
          <w:rFonts w:ascii="Book Antiqua" w:eastAsia="Times New Roman" w:hAnsi="Book Antiqua" w:cs="Times New Roman"/>
          <w:i/>
          <w:lang w:eastAsia="it-IT"/>
        </w:rPr>
        <w:lastRenderedPageBreak/>
        <w:t>massimale non inferiore al 10 per cento dell'importo dei lavori progettati, con il limite di 1 milione di euro, per lavori di importo inferiore alla soglia di cui all'</w:t>
      </w:r>
      <w:hyperlink r:id="rId6" w:history="1">
        <w:r w:rsidRPr="000F7F03">
          <w:rPr>
            <w:rFonts w:ascii="Book Antiqua" w:eastAsia="Times New Roman" w:hAnsi="Book Antiqua" w:cs="Times New Roman"/>
            <w:i/>
            <w:color w:val="0000FF"/>
            <w:u w:val="single"/>
            <w:lang w:eastAsia="it-IT"/>
          </w:rPr>
          <w:t>articolo 28</w:t>
        </w:r>
      </w:hyperlink>
      <w:r w:rsidRPr="00921F31">
        <w:rPr>
          <w:rFonts w:ascii="Book Antiqua" w:eastAsia="Times New Roman" w:hAnsi="Book Antiqua" w:cs="Times New Roman"/>
          <w:i/>
          <w:lang w:eastAsia="it-IT"/>
        </w:rPr>
        <w:t>, comma 1, lettera c), IVA esclusa, e per un massimale non inferiore al 20 per cento dell'importo dei lavori progettati, con il limite di 2 milioni e 500 mila euro, per lavori di importo pari o superiore alla soglia di cui all'</w:t>
      </w:r>
      <w:hyperlink r:id="rId7" w:history="1">
        <w:r w:rsidRPr="000F7F03">
          <w:rPr>
            <w:rFonts w:ascii="Book Antiqua" w:eastAsia="Times New Roman" w:hAnsi="Book Antiqua" w:cs="Times New Roman"/>
            <w:i/>
            <w:color w:val="0000FF"/>
            <w:u w:val="single"/>
            <w:lang w:eastAsia="it-IT"/>
          </w:rPr>
          <w:t>articolo 28</w:t>
        </w:r>
      </w:hyperlink>
      <w:r w:rsidRPr="00921F31">
        <w:rPr>
          <w:rFonts w:ascii="Book Antiqua" w:eastAsia="Times New Roman" w:hAnsi="Book Antiqua" w:cs="Times New Roman"/>
          <w:i/>
          <w:lang w:eastAsia="it-IT"/>
        </w:rPr>
        <w:t>, comma 1, lettera c), IVA esclusa. La mancata presentazione da parte dei progettisti della polizza di garanzia esonera le amministrazioni pubbliche dal pagamento della parcella professionale.</w:t>
      </w:r>
    </w:p>
    <w:p w:rsidR="00921F31" w:rsidRPr="000F7F03" w:rsidRDefault="00921F31" w:rsidP="00433FF5">
      <w:pPr>
        <w:rPr>
          <w:rFonts w:ascii="Book Antiqua" w:eastAsia="Times New Roman" w:hAnsi="Book Antiqua" w:cs="Times New Roman"/>
          <w:i/>
          <w:lang w:eastAsia="it-IT"/>
        </w:rPr>
      </w:pPr>
      <w:r w:rsidRPr="000F7F03">
        <w:rPr>
          <w:rFonts w:ascii="Book Antiqua" w:eastAsia="Times New Roman" w:hAnsi="Book Antiqua" w:cs="Times New Roman"/>
          <w:i/>
          <w:lang w:eastAsia="it-IT"/>
        </w:rPr>
        <w:t>2.</w:t>
      </w:r>
      <w:r w:rsidRPr="00921F31">
        <w:rPr>
          <w:rFonts w:ascii="Book Antiqua" w:eastAsia="Times New Roman" w:hAnsi="Book Antiqua" w:cs="Times New Roman"/>
          <w:i/>
          <w:lang w:eastAsia="it-IT"/>
        </w:rPr>
        <w:t>  Nei contratti relativi a servizi o forniture, di importo pari o superiore a un milione di euro, il regolamento disciplina la garanzia che devono prestare i progettisti, nel rispetto del comma 1, nei limiti della compatibilità.</w:t>
      </w:r>
    </w:p>
    <w:p w:rsidR="00433FF5" w:rsidRPr="000F7F03" w:rsidRDefault="00433FF5" w:rsidP="00433FF5">
      <w:pPr>
        <w:rPr>
          <w:rFonts w:ascii="Book Antiqua" w:eastAsia="Times New Roman" w:hAnsi="Book Antiqua" w:cs="Times New Roman"/>
          <w:lang w:eastAsia="it-IT"/>
        </w:rPr>
      </w:pPr>
      <w:r w:rsidRPr="000F7F03">
        <w:rPr>
          <w:rFonts w:ascii="Book Antiqua" w:eastAsia="Times New Roman" w:hAnsi="Book Antiqua" w:cs="Times New Roman"/>
          <w:lang w:eastAsia="it-IT"/>
        </w:rPr>
        <w:t xml:space="preserve">Art. 112 – Verifica della progettazione prima dell’inizio dei lavori - </w:t>
      </w:r>
      <w:r w:rsidRPr="000F7F03">
        <w:rPr>
          <w:rFonts w:ascii="Book Antiqua" w:eastAsia="Times New Roman" w:hAnsi="Book Antiqua" w:cs="Times New Roman"/>
          <w:i/>
          <w:lang w:eastAsia="it-IT"/>
        </w:rPr>
        <w:t>Nei contratti relativi a lavori, le stazioni appaltanti verificano, nei termini e con le modalità stabiliti nel regolamento, la rispondenza degli elaborati progettuali ai documenti di cui all'articolo 93, commi 1 e 2, e la loro conformità alla normativa vigente.</w:t>
      </w:r>
    </w:p>
    <w:p w:rsidR="00433FF5" w:rsidRPr="000F7F03" w:rsidRDefault="00433FF5" w:rsidP="00433FF5">
      <w:pPr>
        <w:rPr>
          <w:rFonts w:ascii="Book Antiqua" w:eastAsia="Times New Roman" w:hAnsi="Book Antiqua" w:cs="Times New Roman"/>
          <w:i/>
          <w:lang w:eastAsia="it-IT"/>
        </w:rPr>
      </w:pPr>
      <w:r w:rsidRPr="000F7F03">
        <w:rPr>
          <w:rFonts w:ascii="Book Antiqua" w:eastAsia="Times New Roman" w:hAnsi="Book Antiqua" w:cs="Times New Roman"/>
          <w:i/>
          <w:lang w:eastAsia="it-IT"/>
        </w:rPr>
        <w:t>2.  Nei contratti aventi ad oggetto la sola esecuzione dei lavori, la verifica di cui al comma 1 ha luogo prima dell'inizio delle procedure di affidamento. Nei contratti aventi ad oggetto l'esecuzione e la progettazione esecutiva, ovvero l'esecuzione e la progettazione definitiva ed esecutiva, la verifica del progetto preliminare e di quello definitivo redatti a cura della stazione appaltante hanno luogo prima dell'inizio delle procedure di affidamento, e la verifica dei progetti redatti dall'offerente hanno luogo prima dell'ini</w:t>
      </w:r>
      <w:r w:rsidRPr="000F7F03">
        <w:rPr>
          <w:rFonts w:ascii="Book Antiqua" w:eastAsia="Times New Roman" w:hAnsi="Book Antiqua" w:cs="Times New Roman"/>
          <w:i/>
          <w:lang w:eastAsia="it-IT"/>
        </w:rPr>
        <w:t>zio dell'esecuzione dei lavori.</w:t>
      </w:r>
    </w:p>
    <w:p w:rsidR="00433FF5" w:rsidRPr="000F7F03" w:rsidRDefault="00433FF5" w:rsidP="00433FF5">
      <w:pPr>
        <w:rPr>
          <w:rFonts w:ascii="Book Antiqua" w:eastAsia="Times New Roman" w:hAnsi="Book Antiqua" w:cs="Times New Roman"/>
          <w:i/>
          <w:lang w:eastAsia="it-IT"/>
        </w:rPr>
      </w:pPr>
      <w:r w:rsidRPr="000F7F03">
        <w:rPr>
          <w:rFonts w:ascii="Book Antiqua" w:eastAsia="Times New Roman" w:hAnsi="Book Antiqua" w:cs="Times New Roman"/>
          <w:i/>
          <w:lang w:eastAsia="it-IT"/>
        </w:rPr>
        <w:t xml:space="preserve">3.  Al fine di accertare l'unità progettuale, il responsabile del procedimento, nei modi disciplinati dal regolamento, prima dell'approvazione del progetto e in contraddittorio con il progettista, verifica la conformità del progetto esecutivo o definitivo rispettivamente, al progetto definitivo o preliminare. Al contraddittorio partecipa anche il progettista autore del progetto posto a base della gara, che si esprime in ordine a tale conformità. </w:t>
      </w:r>
    </w:p>
    <w:p w:rsidR="00433FF5" w:rsidRPr="000F7F03" w:rsidRDefault="00433FF5" w:rsidP="00433FF5">
      <w:pPr>
        <w:rPr>
          <w:rFonts w:ascii="Book Antiqua" w:eastAsia="Times New Roman" w:hAnsi="Book Antiqua" w:cs="Times New Roman"/>
          <w:i/>
          <w:lang w:eastAsia="it-IT"/>
        </w:rPr>
      </w:pPr>
      <w:r w:rsidRPr="000F7F03">
        <w:rPr>
          <w:rFonts w:ascii="Book Antiqua" w:eastAsia="Times New Roman" w:hAnsi="Book Antiqua" w:cs="Times New Roman"/>
          <w:i/>
          <w:lang w:eastAsia="it-IT"/>
        </w:rPr>
        <w:t>4.  Gli oneri derivanti dall'accertamento della rispondenza agli elaborati progettuali sono ricompresi nelle risorse stanziate per la realizzazione d</w:t>
      </w:r>
      <w:r w:rsidRPr="000F7F03">
        <w:rPr>
          <w:rFonts w:ascii="Book Antiqua" w:eastAsia="Times New Roman" w:hAnsi="Book Antiqua" w:cs="Times New Roman"/>
          <w:i/>
          <w:lang w:eastAsia="it-IT"/>
        </w:rPr>
        <w:t>elle opere.</w:t>
      </w:r>
    </w:p>
    <w:p w:rsidR="00433FF5" w:rsidRPr="00921F31" w:rsidRDefault="00433FF5" w:rsidP="00433FF5">
      <w:pPr>
        <w:rPr>
          <w:rFonts w:ascii="Book Antiqua" w:eastAsia="Times New Roman" w:hAnsi="Book Antiqua" w:cs="Times New Roman"/>
          <w:i/>
          <w:lang w:eastAsia="it-IT"/>
        </w:rPr>
      </w:pPr>
      <w:r w:rsidRPr="000F7F03">
        <w:rPr>
          <w:rFonts w:ascii="Book Antiqua" w:eastAsia="Times New Roman" w:hAnsi="Book Antiqua" w:cs="Times New Roman"/>
          <w:i/>
          <w:lang w:eastAsia="it-IT"/>
        </w:rPr>
        <w:t>4-bis.  Il soggetto incaricato dell'attività di verifica deve essere munito, dalla data di accettazione dell'incarico, di una polizza di responsabilità civile professionale, estesa al danno all'opera, dovuta ad errori od omissioni nello svolgimento dell'attività di verifica, avente le caratteristiche indicate nel regolamento. Il premio relativo a tale copertura assicurativa, per i soggetti interni alla stazione appaltante, è a carico per intero dell'amministrazione di appartenenza ed è ricompreso all'interno del quadro economico; l'amministrazione di appartenenza vi deve obbligatoriamente provvedere entro la data di validazione del progetto. Il premio è a carico del soggetto affidatario, qualora qu</w:t>
      </w:r>
      <w:r w:rsidRPr="000F7F03">
        <w:rPr>
          <w:rFonts w:ascii="Book Antiqua" w:eastAsia="Times New Roman" w:hAnsi="Book Antiqua" w:cs="Times New Roman"/>
          <w:i/>
          <w:lang w:eastAsia="it-IT"/>
        </w:rPr>
        <w:t xml:space="preserve">esti sia soggetto esterno. </w:t>
      </w:r>
    </w:p>
    <w:p w:rsidR="00921F31" w:rsidRPr="000F7F03" w:rsidRDefault="00EB3FD7" w:rsidP="00BA1E3A">
      <w:pPr>
        <w:jc w:val="both"/>
        <w:rPr>
          <w:rFonts w:ascii="Book Antiqua" w:hAnsi="Book Antiqua"/>
          <w:b/>
        </w:rPr>
      </w:pPr>
      <w:r w:rsidRPr="000F7F03">
        <w:rPr>
          <w:rFonts w:ascii="Book Antiqua" w:hAnsi="Book Antiqua"/>
          <w:b/>
        </w:rPr>
        <w:t>Regolamento di esecuzione del Codice dei Contratti pubblici (D.P.R. 5 ottobre 2010, n. 163)</w:t>
      </w:r>
      <w:r w:rsidRPr="000F7F03">
        <w:rPr>
          <w:rFonts w:ascii="Book Antiqua" w:hAnsi="Book Antiqua"/>
        </w:rPr>
        <w:t xml:space="preserve"> </w:t>
      </w:r>
      <w:r w:rsidRPr="000F7F03">
        <w:rPr>
          <w:rFonts w:ascii="Book Antiqua" w:hAnsi="Book Antiqua"/>
          <w:b/>
        </w:rPr>
        <w:t>artt. 56, 57, 269, 270</w:t>
      </w:r>
    </w:p>
    <w:p w:rsidR="000F7F03" w:rsidRPr="000F7F03" w:rsidRDefault="000F7F03" w:rsidP="00F644C1">
      <w:pPr>
        <w:jc w:val="both"/>
        <w:rPr>
          <w:rFonts w:ascii="Book Antiqua" w:hAnsi="Book Antiqua"/>
          <w:b/>
          <w:i/>
        </w:rPr>
      </w:pPr>
      <w:r>
        <w:rPr>
          <w:rFonts w:ascii="Book Antiqua" w:eastAsia="Times New Roman" w:hAnsi="Book Antiqua" w:cs="Times New Roman"/>
          <w:lang w:eastAsia="it-IT"/>
        </w:rPr>
        <w:t>Art. 56</w:t>
      </w:r>
      <w:r w:rsidRPr="000F7F03">
        <w:rPr>
          <w:rFonts w:ascii="Book Antiqua" w:eastAsia="Times New Roman" w:hAnsi="Book Antiqua" w:cs="Times New Roman"/>
          <w:lang w:eastAsia="it-IT"/>
        </w:rPr>
        <w:t xml:space="preserve"> – </w:t>
      </w:r>
      <w:r>
        <w:rPr>
          <w:rFonts w:ascii="Book Antiqua" w:eastAsia="Times New Roman" w:hAnsi="Book Antiqua" w:cs="Times New Roman"/>
          <w:lang w:eastAsia="it-IT"/>
        </w:rPr>
        <w:t>Responsabilità</w:t>
      </w:r>
      <w:r w:rsidRPr="000F7F03">
        <w:rPr>
          <w:rFonts w:ascii="Book Antiqua" w:eastAsia="Times New Roman" w:hAnsi="Book Antiqua" w:cs="Times New Roman"/>
          <w:lang w:eastAsia="it-IT"/>
        </w:rPr>
        <w:t xml:space="preserve"> -</w:t>
      </w:r>
      <w:r w:rsidR="00F644C1">
        <w:rPr>
          <w:rFonts w:ascii="Book Antiqua" w:hAnsi="Book Antiqua"/>
          <w:b/>
        </w:rPr>
        <w:t xml:space="preserve"> </w:t>
      </w:r>
      <w:r w:rsidRPr="000F7F03">
        <w:rPr>
          <w:rFonts w:ascii="Book Antiqua" w:eastAsia="Times New Roman" w:hAnsi="Book Antiqua" w:cs="Times New Roman"/>
          <w:i/>
          <w:lang w:eastAsia="it-IT"/>
        </w:rPr>
        <w:t xml:space="preserve">Nei limiti delle attività di verifica di cui agli </w:t>
      </w:r>
      <w:hyperlink r:id="rId8" w:history="1">
        <w:r w:rsidRPr="00F644C1">
          <w:rPr>
            <w:rFonts w:ascii="Book Antiqua" w:eastAsia="Times New Roman" w:hAnsi="Book Antiqua" w:cs="Times New Roman"/>
            <w:i/>
            <w:color w:val="0000FF"/>
            <w:u w:val="single"/>
            <w:lang w:eastAsia="it-IT"/>
          </w:rPr>
          <w:t>articoli 52</w:t>
        </w:r>
      </w:hyperlink>
      <w:r w:rsidRPr="000F7F03">
        <w:rPr>
          <w:rFonts w:ascii="Book Antiqua" w:eastAsia="Times New Roman" w:hAnsi="Book Antiqua" w:cs="Times New Roman"/>
          <w:i/>
          <w:lang w:eastAsia="it-IT"/>
        </w:rPr>
        <w:t xml:space="preserve"> e </w:t>
      </w:r>
      <w:hyperlink r:id="rId9" w:history="1">
        <w:r w:rsidRPr="00F644C1">
          <w:rPr>
            <w:rFonts w:ascii="Book Antiqua" w:eastAsia="Times New Roman" w:hAnsi="Book Antiqua" w:cs="Times New Roman"/>
            <w:i/>
            <w:color w:val="0000FF"/>
            <w:u w:val="single"/>
            <w:lang w:eastAsia="it-IT"/>
          </w:rPr>
          <w:t>53</w:t>
        </w:r>
      </w:hyperlink>
      <w:r w:rsidRPr="000F7F03">
        <w:rPr>
          <w:rFonts w:ascii="Book Antiqua" w:eastAsia="Times New Roman" w:hAnsi="Book Antiqua" w:cs="Times New Roman"/>
          <w:i/>
          <w:lang w:eastAsia="it-IT"/>
        </w:rPr>
        <w:t xml:space="preserve">, il soggetto incaricato della verifica risponde a titolo di inadempimento del mancato rilievo di errori ed omissioni del progetto verificato che ne pregiudichino in tutto o in parte la realizzabilità o la sua utilizzazione. Il soggetto incaricato della verifica ha la responsabilità degli accertamenti previsti dagli </w:t>
      </w:r>
      <w:hyperlink r:id="rId10" w:history="1">
        <w:r w:rsidRPr="00F644C1">
          <w:rPr>
            <w:rFonts w:ascii="Book Antiqua" w:eastAsia="Times New Roman" w:hAnsi="Book Antiqua" w:cs="Times New Roman"/>
            <w:i/>
            <w:color w:val="0000FF"/>
            <w:u w:val="single"/>
            <w:lang w:eastAsia="it-IT"/>
          </w:rPr>
          <w:t>articoli 52</w:t>
        </w:r>
      </w:hyperlink>
      <w:r w:rsidRPr="000F7F03">
        <w:rPr>
          <w:rFonts w:ascii="Book Antiqua" w:eastAsia="Times New Roman" w:hAnsi="Book Antiqua" w:cs="Times New Roman"/>
          <w:i/>
          <w:lang w:eastAsia="it-IT"/>
        </w:rPr>
        <w:t xml:space="preserve"> e </w:t>
      </w:r>
      <w:hyperlink r:id="rId11" w:history="1">
        <w:r w:rsidRPr="00F644C1">
          <w:rPr>
            <w:rFonts w:ascii="Book Antiqua" w:eastAsia="Times New Roman" w:hAnsi="Book Antiqua" w:cs="Times New Roman"/>
            <w:i/>
            <w:color w:val="0000FF"/>
            <w:u w:val="single"/>
            <w:lang w:eastAsia="it-IT"/>
          </w:rPr>
          <w:t>53</w:t>
        </w:r>
      </w:hyperlink>
      <w:r w:rsidRPr="000F7F03">
        <w:rPr>
          <w:rFonts w:ascii="Book Antiqua" w:eastAsia="Times New Roman" w:hAnsi="Book Antiqua" w:cs="Times New Roman"/>
          <w:i/>
          <w:lang w:eastAsia="it-IT"/>
        </w:rPr>
        <w:t>, ivi compresi quelli relativi all'avvenuta acquisizione dei necessari pareri, autorizzazioni ed approvazioni, ferma restando l'autonoma responsabilità del progettista circa le scelte progettuali e i procedimenti di calcolo adottati.</w:t>
      </w:r>
    </w:p>
    <w:p w:rsidR="000F7F03" w:rsidRPr="000F7F03" w:rsidRDefault="000F7F03" w:rsidP="000F7F03">
      <w:pPr>
        <w:spacing w:before="100" w:beforeAutospacing="1" w:after="100" w:afterAutospacing="1" w:line="240" w:lineRule="auto"/>
        <w:rPr>
          <w:rFonts w:ascii="Book Antiqua" w:eastAsia="Times New Roman" w:hAnsi="Book Antiqua" w:cs="Times New Roman"/>
          <w:i/>
          <w:lang w:eastAsia="it-IT"/>
        </w:rPr>
      </w:pPr>
      <w:r w:rsidRPr="00F644C1">
        <w:rPr>
          <w:rFonts w:ascii="Book Antiqua" w:eastAsia="Times New Roman" w:hAnsi="Book Antiqua" w:cs="Times New Roman"/>
          <w:i/>
          <w:lang w:eastAsia="it-IT"/>
        </w:rPr>
        <w:lastRenderedPageBreak/>
        <w:t>2.</w:t>
      </w:r>
      <w:r w:rsidRPr="000F7F03">
        <w:rPr>
          <w:rFonts w:ascii="Book Antiqua" w:eastAsia="Times New Roman" w:hAnsi="Book Antiqua" w:cs="Times New Roman"/>
          <w:i/>
          <w:lang w:eastAsia="it-IT"/>
        </w:rPr>
        <w:t>  Il soggetto incaricato dell'attività di verifica che sia inadempiente agli obblighi posti a suo carico dal presente capo e dal contratto di appalto di servizi è tenuto a risarcire i danni derivanti alla stazione appaltante in conseguenza dell'inadempimento ed è escluso per i successivi tre anni dalle attività di verifica. Per i danni non ristorabili, per tipologia o importo, mediante la copertura assicurativa di cui all'</w:t>
      </w:r>
      <w:hyperlink r:id="rId12" w:history="1">
        <w:r w:rsidRPr="00F644C1">
          <w:rPr>
            <w:rFonts w:ascii="Book Antiqua" w:eastAsia="Times New Roman" w:hAnsi="Book Antiqua" w:cs="Times New Roman"/>
            <w:i/>
            <w:color w:val="0000FF"/>
            <w:u w:val="single"/>
            <w:lang w:eastAsia="it-IT"/>
          </w:rPr>
          <w:t>articolo 57</w:t>
        </w:r>
      </w:hyperlink>
      <w:r w:rsidRPr="000F7F03">
        <w:rPr>
          <w:rFonts w:ascii="Book Antiqua" w:eastAsia="Times New Roman" w:hAnsi="Book Antiqua" w:cs="Times New Roman"/>
          <w:i/>
          <w:lang w:eastAsia="it-IT"/>
        </w:rPr>
        <w:t>, resta ferma la responsabilità del soggetto esterno incaricato dell'attività di verifica, la quale opera anche nell'ipotesi di inesigibilità, in tutto o in parte, della prestazione contrattualmente dovuta dall'assicuratore. Nel caso in cui il soggetto incaricato della verifica sia dipendente della stazione appaltante esso risponde nei limiti della copertura assicurativa di cui all'</w:t>
      </w:r>
      <w:hyperlink r:id="rId13" w:history="1">
        <w:r w:rsidRPr="00F644C1">
          <w:rPr>
            <w:rFonts w:ascii="Book Antiqua" w:eastAsia="Times New Roman" w:hAnsi="Book Antiqua" w:cs="Times New Roman"/>
            <w:i/>
            <w:color w:val="0000FF"/>
            <w:u w:val="single"/>
            <w:lang w:eastAsia="it-IT"/>
          </w:rPr>
          <w:t>articolo 57</w:t>
        </w:r>
      </w:hyperlink>
      <w:r w:rsidRPr="000F7F03">
        <w:rPr>
          <w:rFonts w:ascii="Book Antiqua" w:eastAsia="Times New Roman" w:hAnsi="Book Antiqua" w:cs="Times New Roman"/>
          <w:i/>
          <w:lang w:eastAsia="it-IT"/>
        </w:rPr>
        <w:t>, salve la responsabilità disciplinare e per danno erariale secondo le norme vigenti.</w:t>
      </w:r>
    </w:p>
    <w:p w:rsidR="000F7F03" w:rsidRPr="000F7F03" w:rsidRDefault="000F7F03" w:rsidP="000F7F03">
      <w:pPr>
        <w:spacing w:before="100" w:beforeAutospacing="1" w:after="100" w:afterAutospacing="1" w:line="240" w:lineRule="auto"/>
        <w:rPr>
          <w:rFonts w:ascii="Book Antiqua" w:eastAsia="Times New Roman" w:hAnsi="Book Antiqua" w:cs="Times New Roman"/>
          <w:i/>
          <w:lang w:eastAsia="it-IT"/>
        </w:rPr>
      </w:pPr>
      <w:r w:rsidRPr="00F644C1">
        <w:rPr>
          <w:rFonts w:ascii="Book Antiqua" w:eastAsia="Times New Roman" w:hAnsi="Book Antiqua" w:cs="Times New Roman"/>
          <w:i/>
          <w:lang w:eastAsia="it-IT"/>
        </w:rPr>
        <w:t>3.</w:t>
      </w:r>
      <w:r w:rsidRPr="000F7F03">
        <w:rPr>
          <w:rFonts w:ascii="Book Antiqua" w:eastAsia="Times New Roman" w:hAnsi="Book Antiqua" w:cs="Times New Roman"/>
          <w:i/>
          <w:lang w:eastAsia="it-IT"/>
        </w:rPr>
        <w:t>  La validazione del progetto, di cui all'</w:t>
      </w:r>
      <w:hyperlink r:id="rId14" w:history="1">
        <w:r w:rsidRPr="00F644C1">
          <w:rPr>
            <w:rFonts w:ascii="Book Antiqua" w:eastAsia="Times New Roman" w:hAnsi="Book Antiqua" w:cs="Times New Roman"/>
            <w:i/>
            <w:color w:val="0000FF"/>
            <w:u w:val="single"/>
            <w:lang w:eastAsia="it-IT"/>
          </w:rPr>
          <w:t>articolo 55</w:t>
        </w:r>
      </w:hyperlink>
      <w:r w:rsidRPr="000F7F03">
        <w:rPr>
          <w:rFonts w:ascii="Book Antiqua" w:eastAsia="Times New Roman" w:hAnsi="Book Antiqua" w:cs="Times New Roman"/>
          <w:i/>
          <w:lang w:eastAsia="it-IT"/>
        </w:rPr>
        <w:t>, non esime il concorrente che partecipa alla procedura per l'affidamento dell'appalto o della concessione di lavori pubblici dagli adempimenti di cui all'</w:t>
      </w:r>
      <w:hyperlink r:id="rId15" w:history="1">
        <w:r w:rsidRPr="00F644C1">
          <w:rPr>
            <w:rFonts w:ascii="Book Antiqua" w:eastAsia="Times New Roman" w:hAnsi="Book Antiqua" w:cs="Times New Roman"/>
            <w:i/>
            <w:color w:val="0000FF"/>
            <w:u w:val="single"/>
            <w:lang w:eastAsia="it-IT"/>
          </w:rPr>
          <w:t>articolo 106,</w:t>
        </w:r>
      </w:hyperlink>
      <w:r w:rsidRPr="000F7F03">
        <w:rPr>
          <w:rFonts w:ascii="Book Antiqua" w:eastAsia="Times New Roman" w:hAnsi="Book Antiqua" w:cs="Times New Roman"/>
          <w:i/>
          <w:lang w:eastAsia="it-IT"/>
        </w:rPr>
        <w:t xml:space="preserve"> comma 2, e dalle conseguenti responsabilità.</w:t>
      </w:r>
    </w:p>
    <w:p w:rsidR="000F7F03" w:rsidRPr="000F7F03" w:rsidRDefault="00F644C1" w:rsidP="00F644C1">
      <w:pPr>
        <w:spacing w:after="0" w:line="240" w:lineRule="auto"/>
        <w:rPr>
          <w:rFonts w:ascii="Book Antiqua" w:eastAsia="Times New Roman" w:hAnsi="Book Antiqua" w:cs="Times New Roman"/>
          <w:i/>
          <w:lang w:eastAsia="it-IT"/>
        </w:rPr>
      </w:pPr>
      <w:r>
        <w:rPr>
          <w:rFonts w:ascii="Book Antiqua" w:eastAsia="Times New Roman" w:hAnsi="Book Antiqua" w:cs="Times New Roman"/>
          <w:lang w:eastAsia="it-IT"/>
        </w:rPr>
        <w:t xml:space="preserve">Art. 57 – Garanzie -  </w:t>
      </w:r>
      <w:r w:rsidR="000F7F03" w:rsidRPr="000F7F03">
        <w:rPr>
          <w:rFonts w:ascii="Book Antiqua" w:eastAsia="Times New Roman" w:hAnsi="Book Antiqua" w:cs="Times New Roman"/>
          <w:i/>
          <w:lang w:eastAsia="it-IT"/>
        </w:rPr>
        <w:t>La polizza richiesta al soggetto incaricato dell'attività di verifica ha le seguenti caratteristiche:</w:t>
      </w:r>
    </w:p>
    <w:p w:rsidR="000F7F03" w:rsidRPr="000F7F03" w:rsidRDefault="000F7F03" w:rsidP="000F7F03">
      <w:pPr>
        <w:spacing w:after="0" w:line="240" w:lineRule="auto"/>
        <w:rPr>
          <w:rFonts w:ascii="Book Antiqua" w:eastAsia="Times New Roman" w:hAnsi="Book Antiqua" w:cs="Times New Roman"/>
          <w:i/>
          <w:lang w:eastAsia="it-IT"/>
        </w:rPr>
      </w:pPr>
      <w:r w:rsidRPr="000F7F03">
        <w:rPr>
          <w:rFonts w:ascii="Book Antiqua" w:eastAsia="Times New Roman" w:hAnsi="Book Antiqua" w:cs="Times New Roman"/>
          <w:i/>
          <w:lang w:eastAsia="it-IT"/>
        </w:rPr>
        <w:t>a)  nel caso di polizza specifica limitata all'incarico di verifica, la polizza deve avere durata fino alla data di rilascio del certificato di collaudo o di regolare esecuzione:</w:t>
      </w:r>
    </w:p>
    <w:p w:rsidR="000F7F03" w:rsidRPr="000F7F03" w:rsidRDefault="000F7F03" w:rsidP="000F7F03">
      <w:pPr>
        <w:spacing w:after="0" w:line="240" w:lineRule="auto"/>
        <w:rPr>
          <w:rFonts w:ascii="Book Antiqua" w:eastAsia="Times New Roman" w:hAnsi="Book Antiqua" w:cs="Times New Roman"/>
          <w:i/>
          <w:lang w:eastAsia="it-IT"/>
        </w:rPr>
      </w:pPr>
      <w:r w:rsidRPr="000F7F03">
        <w:rPr>
          <w:rFonts w:ascii="Book Antiqua" w:eastAsia="Times New Roman" w:hAnsi="Book Antiqua" w:cs="Times New Roman"/>
          <w:i/>
          <w:lang w:eastAsia="it-IT"/>
        </w:rPr>
        <w:t>1.  non inferiore al cinque per cento del valore dell'opera, con il limite di 500.000 euro, per lavori di importo inferiore alla soglia stabilita dall'</w:t>
      </w:r>
      <w:hyperlink r:id="rId16" w:history="1">
        <w:r w:rsidRPr="00F644C1">
          <w:rPr>
            <w:rFonts w:ascii="Book Antiqua" w:eastAsia="Times New Roman" w:hAnsi="Book Antiqua" w:cs="Times New Roman"/>
            <w:i/>
            <w:color w:val="0000FF"/>
            <w:u w:val="single"/>
            <w:lang w:eastAsia="it-IT"/>
          </w:rPr>
          <w:t>articolo 28, comma 1, lettera c), del codice</w:t>
        </w:r>
      </w:hyperlink>
      <w:r w:rsidRPr="000F7F03">
        <w:rPr>
          <w:rFonts w:ascii="Book Antiqua" w:eastAsia="Times New Roman" w:hAnsi="Book Antiqua" w:cs="Times New Roman"/>
          <w:i/>
          <w:lang w:eastAsia="it-IT"/>
        </w:rPr>
        <w:t xml:space="preserve">; </w:t>
      </w:r>
    </w:p>
    <w:p w:rsidR="000F7F03" w:rsidRPr="000F7F03" w:rsidRDefault="000F7F03" w:rsidP="000F7F03">
      <w:pPr>
        <w:spacing w:after="0" w:line="240" w:lineRule="auto"/>
        <w:rPr>
          <w:rFonts w:ascii="Book Antiqua" w:eastAsia="Times New Roman" w:hAnsi="Book Antiqua" w:cs="Times New Roman"/>
          <w:i/>
          <w:lang w:eastAsia="it-IT"/>
        </w:rPr>
      </w:pPr>
      <w:r w:rsidRPr="000F7F03">
        <w:rPr>
          <w:rFonts w:ascii="Book Antiqua" w:eastAsia="Times New Roman" w:hAnsi="Book Antiqua" w:cs="Times New Roman"/>
          <w:i/>
          <w:lang w:eastAsia="it-IT"/>
        </w:rPr>
        <w:t>2.  non inferiore al dieci per cento dell'importo dei lavori, con il limite di 1.500.000 euro, nel caso di lavori di importo pari o superiore alla predetta soglia.</w:t>
      </w:r>
    </w:p>
    <w:p w:rsidR="000F7F03" w:rsidRPr="000F7F03" w:rsidRDefault="000F7F03" w:rsidP="000F7F03">
      <w:pPr>
        <w:spacing w:after="0" w:line="240" w:lineRule="auto"/>
        <w:rPr>
          <w:rFonts w:ascii="Book Antiqua" w:eastAsia="Times New Roman" w:hAnsi="Book Antiqua" w:cs="Times New Roman"/>
          <w:i/>
          <w:lang w:eastAsia="it-IT"/>
        </w:rPr>
      </w:pPr>
      <w:r w:rsidRPr="000F7F03">
        <w:rPr>
          <w:rFonts w:ascii="Book Antiqua" w:eastAsia="Times New Roman" w:hAnsi="Book Antiqua" w:cs="Times New Roman"/>
          <w:i/>
          <w:lang w:eastAsia="it-IT"/>
        </w:rPr>
        <w:t xml:space="preserve">Per opere di particolare complessità può essere richiesto un massimale superiore a 1.500.000 euro fino al venti per cento dell'importo dei lavori con il limite di 2.500.000 euro; </w:t>
      </w:r>
    </w:p>
    <w:p w:rsidR="000F7F03" w:rsidRPr="000F7F03" w:rsidRDefault="000F7F03" w:rsidP="000F7F03">
      <w:pPr>
        <w:spacing w:after="0" w:line="240" w:lineRule="auto"/>
        <w:rPr>
          <w:rFonts w:ascii="Book Antiqua" w:eastAsia="Times New Roman" w:hAnsi="Book Antiqua" w:cs="Times New Roman"/>
          <w:i/>
          <w:lang w:eastAsia="it-IT"/>
        </w:rPr>
      </w:pPr>
      <w:r w:rsidRPr="000F7F03">
        <w:rPr>
          <w:rFonts w:ascii="Book Antiqua" w:eastAsia="Times New Roman" w:hAnsi="Book Antiqua" w:cs="Times New Roman"/>
          <w:i/>
          <w:lang w:eastAsia="it-IT"/>
        </w:rPr>
        <w:t>b)  nel caso in cui il soggetto incaricato dell'attività di verifica sia coperto da una polizza professionale generale per l'intera attività, detta polizza deve essere integrata attraverso idonea dichiarazione della compagnia di assicurazione che garantisca le condizioni di cui alla lettera a) per lo specifico progetto.</w:t>
      </w:r>
    </w:p>
    <w:p w:rsidR="000F7F03" w:rsidRPr="000F7F03" w:rsidRDefault="000F7F03" w:rsidP="000F7F03">
      <w:pPr>
        <w:spacing w:after="0" w:line="240" w:lineRule="auto"/>
        <w:rPr>
          <w:rFonts w:ascii="Book Antiqua" w:eastAsia="Times New Roman" w:hAnsi="Book Antiqua" w:cs="Times New Roman"/>
          <w:lang w:eastAsia="it-IT"/>
        </w:rPr>
      </w:pPr>
    </w:p>
    <w:p w:rsidR="000F7F03" w:rsidRPr="000F7F03" w:rsidRDefault="000F7F03" w:rsidP="000F7F03">
      <w:pPr>
        <w:spacing w:before="100" w:beforeAutospacing="1" w:after="100" w:afterAutospacing="1" w:line="240" w:lineRule="auto"/>
        <w:rPr>
          <w:rFonts w:ascii="Book Antiqua" w:eastAsia="Times New Roman" w:hAnsi="Book Antiqua" w:cs="Times New Roman"/>
          <w:i/>
          <w:lang w:eastAsia="it-IT"/>
        </w:rPr>
      </w:pPr>
      <w:r w:rsidRPr="000F7F03">
        <w:rPr>
          <w:rFonts w:ascii="Book Antiqua" w:eastAsia="Times New Roman" w:hAnsi="Book Antiqua" w:cs="Times New Roman"/>
          <w:lang w:eastAsia="it-IT"/>
        </w:rPr>
        <w:t>Art. 269</w:t>
      </w:r>
      <w:r w:rsidR="00F644C1">
        <w:rPr>
          <w:rFonts w:ascii="Book Antiqua" w:eastAsia="Times New Roman" w:hAnsi="Book Antiqua" w:cs="Times New Roman"/>
          <w:lang w:eastAsia="it-IT"/>
        </w:rPr>
        <w:t xml:space="preserve"> - </w:t>
      </w:r>
      <w:r w:rsidRPr="000F7F03">
        <w:rPr>
          <w:rFonts w:ascii="Book Antiqua" w:eastAsia="Times New Roman" w:hAnsi="Book Antiqua" w:cs="Times New Roman"/>
          <w:lang w:eastAsia="it-IT"/>
        </w:rPr>
        <w:t xml:space="preserve">Polizza assicurativa del progettista </w:t>
      </w:r>
      <w:r w:rsidR="00F644C1">
        <w:rPr>
          <w:rFonts w:ascii="Book Antiqua" w:eastAsia="Times New Roman" w:hAnsi="Book Antiqua" w:cs="Times New Roman"/>
          <w:lang w:eastAsia="it-IT"/>
        </w:rPr>
        <w:t xml:space="preserve">- </w:t>
      </w:r>
      <w:r w:rsidRPr="000F7F03">
        <w:rPr>
          <w:rFonts w:ascii="Book Antiqua" w:eastAsia="Times New Roman" w:hAnsi="Book Antiqua" w:cs="Times New Roman"/>
          <w:i/>
          <w:lang w:eastAsia="it-IT"/>
        </w:rPr>
        <w:t>Le stazioni appaltanti richiedono ai progettisti, come forma di copertura assicurativa, la polizza di cui all'</w:t>
      </w:r>
      <w:hyperlink r:id="rId17" w:history="1">
        <w:r w:rsidRPr="00F644C1">
          <w:rPr>
            <w:rFonts w:ascii="Book Antiqua" w:eastAsia="Times New Roman" w:hAnsi="Book Antiqua" w:cs="Times New Roman"/>
            <w:i/>
            <w:color w:val="0000FF"/>
            <w:u w:val="single"/>
            <w:lang w:eastAsia="it-IT"/>
          </w:rPr>
          <w:t>articolo 111, comma 1, del codice</w:t>
        </w:r>
      </w:hyperlink>
      <w:r w:rsidRPr="000F7F03">
        <w:rPr>
          <w:rFonts w:ascii="Book Antiqua" w:eastAsia="Times New Roman" w:hAnsi="Book Antiqua" w:cs="Times New Roman"/>
          <w:i/>
          <w:lang w:eastAsia="it-IT"/>
        </w:rPr>
        <w:t>. Nel caso di appalto di progettazione ed esecuzione ai sensi dell'</w:t>
      </w:r>
      <w:hyperlink r:id="rId18" w:history="1">
        <w:r w:rsidRPr="00F644C1">
          <w:rPr>
            <w:rFonts w:ascii="Book Antiqua" w:eastAsia="Times New Roman" w:hAnsi="Book Antiqua" w:cs="Times New Roman"/>
            <w:i/>
            <w:color w:val="0000FF"/>
            <w:u w:val="single"/>
            <w:lang w:eastAsia="it-IT"/>
          </w:rPr>
          <w:t>articolo 53, comma 2, lettere b) e c), del codice</w:t>
        </w:r>
      </w:hyperlink>
      <w:r w:rsidRPr="000F7F03">
        <w:rPr>
          <w:rFonts w:ascii="Book Antiqua" w:eastAsia="Times New Roman" w:hAnsi="Book Antiqua" w:cs="Times New Roman"/>
          <w:i/>
          <w:lang w:eastAsia="it-IT"/>
        </w:rPr>
        <w:t>, la predetta polizza è richiesta all'affidatario. Tale polizza copre la responsabilità civile professionale del progettista esterno per i rischi derivanti anche da errori od omissioni nella redazione del progetto esecutivo o definitivo che abbiano determinato a carico della stazione appaltante nuove spese di progettazione e/o maggiori costi.</w:t>
      </w:r>
    </w:p>
    <w:p w:rsidR="000F7F03" w:rsidRPr="000F7F03" w:rsidRDefault="000F7F03" w:rsidP="000F7F03">
      <w:pPr>
        <w:spacing w:before="100" w:beforeAutospacing="1" w:after="100" w:afterAutospacing="1" w:line="240" w:lineRule="auto"/>
        <w:rPr>
          <w:rFonts w:ascii="Book Antiqua" w:eastAsia="Times New Roman" w:hAnsi="Book Antiqua" w:cs="Times New Roman"/>
          <w:i/>
          <w:lang w:eastAsia="it-IT"/>
        </w:rPr>
      </w:pPr>
      <w:r w:rsidRPr="00F644C1">
        <w:rPr>
          <w:rFonts w:ascii="Book Antiqua" w:eastAsia="Times New Roman" w:hAnsi="Book Antiqua" w:cs="Times New Roman"/>
          <w:i/>
          <w:lang w:eastAsia="it-IT"/>
        </w:rPr>
        <w:t>2.</w:t>
      </w:r>
      <w:r w:rsidRPr="000F7F03">
        <w:rPr>
          <w:rFonts w:ascii="Book Antiqua" w:eastAsia="Times New Roman" w:hAnsi="Book Antiqua" w:cs="Times New Roman"/>
          <w:i/>
          <w:lang w:eastAsia="it-IT"/>
        </w:rPr>
        <w:t>  Si intende per maggior costo la differenza fra i costi e gli oneri che la stazione appaltante deve sopportare per l'esecuzione dell'intervento a causa dell'errore o omissione progettuale ed i costi e gli oneri che essi avrebbero dovuto affrontare per l'esecuzione di un progetto esente da errori ed omissioni.</w:t>
      </w:r>
    </w:p>
    <w:p w:rsidR="000F7F03" w:rsidRPr="000F7F03" w:rsidRDefault="000F7F03" w:rsidP="000F7F03">
      <w:pPr>
        <w:spacing w:before="100" w:beforeAutospacing="1" w:after="100" w:afterAutospacing="1" w:line="240" w:lineRule="auto"/>
        <w:rPr>
          <w:rFonts w:ascii="Book Antiqua" w:eastAsia="Times New Roman" w:hAnsi="Book Antiqua" w:cs="Times New Roman"/>
          <w:i/>
          <w:lang w:eastAsia="it-IT"/>
        </w:rPr>
      </w:pPr>
      <w:r w:rsidRPr="00F644C1">
        <w:rPr>
          <w:rFonts w:ascii="Book Antiqua" w:eastAsia="Times New Roman" w:hAnsi="Book Antiqua" w:cs="Times New Roman"/>
          <w:i/>
          <w:lang w:eastAsia="it-IT"/>
        </w:rPr>
        <w:t>3.</w:t>
      </w:r>
      <w:r w:rsidRPr="000F7F03">
        <w:rPr>
          <w:rFonts w:ascii="Book Antiqua" w:eastAsia="Times New Roman" w:hAnsi="Book Antiqua" w:cs="Times New Roman"/>
          <w:i/>
          <w:lang w:eastAsia="it-IT"/>
        </w:rPr>
        <w:t>  Per nuove spese di progettazione si intendono gli oneri di nuova progettazione, nella misura massima del costo iniziale di progettazione, sostenuti dalle stazioni appaltanti qualora, per motivate ragioni, affidino con le procedure previste dal codice e dal presente regolamento, la nuova progettazione ad altri progettisti anziché al progettista originariamente incaricato. L'obbligo di progettare nuovamente i lavori a carico del progettista senza costi e oneri per la stazione appaltante deve essere inderogabilmente previsto nel contratto.</w:t>
      </w:r>
    </w:p>
    <w:p w:rsidR="000F7F03" w:rsidRPr="000F7F03" w:rsidRDefault="000F7F03" w:rsidP="000F7F03">
      <w:pPr>
        <w:spacing w:before="100" w:beforeAutospacing="1" w:after="100" w:afterAutospacing="1" w:line="240" w:lineRule="auto"/>
        <w:rPr>
          <w:rFonts w:ascii="Book Antiqua" w:eastAsia="Times New Roman" w:hAnsi="Book Antiqua" w:cs="Times New Roman"/>
          <w:i/>
          <w:lang w:eastAsia="it-IT"/>
        </w:rPr>
      </w:pPr>
      <w:r w:rsidRPr="00F644C1">
        <w:rPr>
          <w:rFonts w:ascii="Book Antiqua" w:eastAsia="Times New Roman" w:hAnsi="Book Antiqua" w:cs="Times New Roman"/>
          <w:i/>
          <w:lang w:eastAsia="it-IT"/>
        </w:rPr>
        <w:t>4.</w:t>
      </w:r>
      <w:r w:rsidRPr="000F7F03">
        <w:rPr>
          <w:rFonts w:ascii="Book Antiqua" w:eastAsia="Times New Roman" w:hAnsi="Book Antiqua" w:cs="Times New Roman"/>
          <w:i/>
          <w:lang w:eastAsia="it-IT"/>
        </w:rPr>
        <w:t xml:space="preserve">  Il progettista, contestualmente alla sottoscrizione del contratto, deve produrre una dichiarazione di una compagnia di assicurazioni autorizzata all'esercizio del ramo «responsabilità civile generale» nel territorio dell'Unione europea, contenente l'impegno a rilasciare la polizza di responsabilità civile professionale con specifico riferimento ai lavori progettati. La polizza decorre dalla data di inizio dei lavori e ha termine alla data di emissione del certificato di collaudo provvisorio. La mancata presentazione della dichiarazione determina la decadenza dall'incarico, e autorizza la sostituzione dell'affidatario. Nel caso di appalto di </w:t>
      </w:r>
      <w:r w:rsidRPr="000F7F03">
        <w:rPr>
          <w:rFonts w:ascii="Book Antiqua" w:eastAsia="Times New Roman" w:hAnsi="Book Antiqua" w:cs="Times New Roman"/>
          <w:i/>
          <w:lang w:eastAsia="it-IT"/>
        </w:rPr>
        <w:lastRenderedPageBreak/>
        <w:t>progettazione ed esecuzione ai sensi dell'</w:t>
      </w:r>
      <w:hyperlink r:id="rId19" w:history="1">
        <w:r w:rsidRPr="00F644C1">
          <w:rPr>
            <w:rFonts w:ascii="Book Antiqua" w:eastAsia="Times New Roman" w:hAnsi="Book Antiqua" w:cs="Times New Roman"/>
            <w:i/>
            <w:color w:val="0000FF"/>
            <w:u w:val="single"/>
            <w:lang w:eastAsia="it-IT"/>
          </w:rPr>
          <w:t>articolo 53, comma 2, lettere b) e c), del codice</w:t>
        </w:r>
      </w:hyperlink>
      <w:r w:rsidRPr="000F7F03">
        <w:rPr>
          <w:rFonts w:ascii="Book Antiqua" w:eastAsia="Times New Roman" w:hAnsi="Book Antiqua" w:cs="Times New Roman"/>
          <w:i/>
          <w:lang w:eastAsia="it-IT"/>
        </w:rPr>
        <w:t>, la polizza decorre dalla stipula del contratto con l'affidatario.</w:t>
      </w:r>
    </w:p>
    <w:p w:rsidR="000F7F03" w:rsidRPr="000F7F03" w:rsidRDefault="000F7F03" w:rsidP="000F7F03">
      <w:pPr>
        <w:spacing w:before="100" w:beforeAutospacing="1" w:after="100" w:afterAutospacing="1" w:line="240" w:lineRule="auto"/>
        <w:rPr>
          <w:rFonts w:ascii="Book Antiqua" w:eastAsia="Times New Roman" w:hAnsi="Book Antiqua" w:cs="Times New Roman"/>
          <w:i/>
          <w:lang w:eastAsia="it-IT"/>
        </w:rPr>
      </w:pPr>
      <w:r w:rsidRPr="00F644C1">
        <w:rPr>
          <w:rFonts w:ascii="Book Antiqua" w:eastAsia="Times New Roman" w:hAnsi="Book Antiqua" w:cs="Times New Roman"/>
          <w:i/>
          <w:lang w:eastAsia="it-IT"/>
        </w:rPr>
        <w:t>5.</w:t>
      </w:r>
      <w:r w:rsidRPr="000F7F03">
        <w:rPr>
          <w:rFonts w:ascii="Book Antiqua" w:eastAsia="Times New Roman" w:hAnsi="Book Antiqua" w:cs="Times New Roman"/>
          <w:i/>
          <w:lang w:eastAsia="it-IT"/>
        </w:rPr>
        <w:t>  Nel caso in cui il pagamento dei corrispettivi professionali sia dal contratto frazionato in via di anticipazione non correlata allo svolgimento per fasi del progetto, ciascuna anticipazione in acconto è subordinata alla costituzione di una garanzia fideiussoria bancaria o assicurativa di importo pari all'acconto medesimo. Il saldo è corrisposto soltanto a seguito della presentazione della polizza. Lo svincolo delle garanzie fideiussorie è contestuale alla presentazione della polizza, che deve in ogni caso avvenire al momento della consegna degli elaborati progettuali.</w:t>
      </w:r>
    </w:p>
    <w:p w:rsidR="000F7F03" w:rsidRPr="000F7F03" w:rsidRDefault="000F7F03" w:rsidP="000F7F03">
      <w:pPr>
        <w:spacing w:before="100" w:beforeAutospacing="1" w:after="100" w:afterAutospacing="1" w:line="240" w:lineRule="auto"/>
        <w:rPr>
          <w:rFonts w:ascii="Book Antiqua" w:eastAsia="Times New Roman" w:hAnsi="Book Antiqua" w:cs="Times New Roman"/>
          <w:i/>
          <w:lang w:eastAsia="it-IT"/>
        </w:rPr>
      </w:pPr>
      <w:r w:rsidRPr="00F644C1">
        <w:rPr>
          <w:rFonts w:ascii="Book Antiqua" w:eastAsia="Times New Roman" w:hAnsi="Book Antiqua" w:cs="Times New Roman"/>
          <w:i/>
          <w:lang w:eastAsia="it-IT"/>
        </w:rPr>
        <w:t>6.</w:t>
      </w:r>
      <w:r w:rsidRPr="000F7F03">
        <w:rPr>
          <w:rFonts w:ascii="Book Antiqua" w:eastAsia="Times New Roman" w:hAnsi="Book Antiqua" w:cs="Times New Roman"/>
          <w:i/>
          <w:lang w:eastAsia="it-IT"/>
        </w:rPr>
        <w:t>  L'assicuratore, entro novanta giorni dalla ricezione della richiesta di risarcimento, comunica alla stazione appaltante la somma offerta, ovvero indica i motivi per i quali non può formulare alcuna offerta. Il responsabile del procedimento entro sessanta giorni dal ricevimento dell'offerta deve assumere la propria determinazione. Trascorso inutilmente tale termine, l'offerta si intende rifiutata. Qualora il responsabile del procedimento dichiari di accettare la somma offertagli, l'assicuratore deve provvedere al pagamento entro trenta giorni dalla ricezione della comunicazione.</w:t>
      </w:r>
    </w:p>
    <w:p w:rsidR="000F7F03" w:rsidRPr="000F7F03" w:rsidRDefault="000F7F03" w:rsidP="000F7F03">
      <w:pPr>
        <w:spacing w:before="100" w:beforeAutospacing="1" w:after="100" w:afterAutospacing="1" w:line="240" w:lineRule="auto"/>
        <w:rPr>
          <w:rFonts w:ascii="Book Antiqua" w:eastAsia="Times New Roman" w:hAnsi="Book Antiqua" w:cs="Times New Roman"/>
          <w:i/>
          <w:lang w:eastAsia="it-IT"/>
        </w:rPr>
      </w:pPr>
      <w:r w:rsidRPr="00F644C1">
        <w:rPr>
          <w:rFonts w:ascii="Book Antiqua" w:eastAsia="Times New Roman" w:hAnsi="Book Antiqua" w:cs="Times New Roman"/>
          <w:i/>
          <w:lang w:eastAsia="it-IT"/>
        </w:rPr>
        <w:t>7.</w:t>
      </w:r>
      <w:r w:rsidRPr="000F7F03">
        <w:rPr>
          <w:rFonts w:ascii="Book Antiqua" w:eastAsia="Times New Roman" w:hAnsi="Book Antiqua" w:cs="Times New Roman"/>
          <w:i/>
          <w:lang w:eastAsia="it-IT"/>
        </w:rPr>
        <w:t>  Qualora l'assicuratore non proceda alla comunicazione di cui al comma 6, ovvero la sua offerta sia ritenuta incongrua dalla stazione appaltante, la stima dell'ammontare del danno è demandata ad un perito designato dall'Autorità nell'ambito dell'elenco di cui all'</w:t>
      </w:r>
      <w:hyperlink r:id="rId20" w:history="1">
        <w:r w:rsidRPr="00F644C1">
          <w:rPr>
            <w:rFonts w:ascii="Book Antiqua" w:eastAsia="Times New Roman" w:hAnsi="Book Antiqua" w:cs="Times New Roman"/>
            <w:i/>
            <w:color w:val="0000FF"/>
            <w:u w:val="single"/>
            <w:lang w:eastAsia="it-IT"/>
          </w:rPr>
          <w:t>articolo 242, comma 7, del codice</w:t>
        </w:r>
      </w:hyperlink>
      <w:r w:rsidRPr="000F7F03">
        <w:rPr>
          <w:rFonts w:ascii="Book Antiqua" w:eastAsia="Times New Roman" w:hAnsi="Book Antiqua" w:cs="Times New Roman"/>
          <w:i/>
          <w:lang w:eastAsia="it-IT"/>
        </w:rPr>
        <w:t>. Qualora il pagamento della somma stimata non sia effettuato entro sessanta giorni dalla comunicazione della stima, la stazione appaltante dà comunicazione all'ISVAP.</w:t>
      </w:r>
    </w:p>
    <w:p w:rsidR="000F7F03" w:rsidRPr="000F7F03" w:rsidRDefault="00F644C1" w:rsidP="00F644C1">
      <w:pPr>
        <w:spacing w:after="0" w:line="240" w:lineRule="auto"/>
        <w:rPr>
          <w:rFonts w:ascii="Book Antiqua" w:eastAsia="Times New Roman" w:hAnsi="Book Antiqua" w:cs="Times New Roman"/>
          <w:lang w:eastAsia="it-IT"/>
        </w:rPr>
      </w:pPr>
      <w:r>
        <w:rPr>
          <w:rFonts w:ascii="Book Antiqua" w:eastAsia="Times New Roman" w:hAnsi="Book Antiqua" w:cs="Times New Roman"/>
          <w:lang w:eastAsia="it-IT"/>
        </w:rPr>
        <w:t xml:space="preserve">Art. 270 – Polizza assicurativa del dipendente incaricato della progettazione -  </w:t>
      </w:r>
      <w:r w:rsidR="000F7F03" w:rsidRPr="000F7F03">
        <w:rPr>
          <w:rFonts w:ascii="Book Antiqua" w:eastAsia="Times New Roman" w:hAnsi="Book Antiqua" w:cs="Times New Roman"/>
          <w:i/>
          <w:lang w:eastAsia="it-IT"/>
        </w:rPr>
        <w:t>Qualora la progettazione sia affidata a proprio dipendente, la stazione appaltante provvede, a fare data dal contratto, a contrarre garanzia assicurativa per la copertura dei rischi professionali, sostenendo l'onere del premio con i fondi appositamente accantonati nel quadro economico di ogni singolo intervento ovvero ricorrendo a stanziamenti di spesa all'uopo previsti dalle singole stazioni appaltanti. L'importo da garantire non può essere superiore al dieci per cento del costo di costr</w:t>
      </w:r>
      <w:bookmarkStart w:id="0" w:name="_GoBack"/>
      <w:bookmarkEnd w:id="0"/>
      <w:r w:rsidR="000F7F03" w:rsidRPr="000F7F03">
        <w:rPr>
          <w:rFonts w:ascii="Book Antiqua" w:eastAsia="Times New Roman" w:hAnsi="Book Antiqua" w:cs="Times New Roman"/>
          <w:i/>
          <w:lang w:eastAsia="it-IT"/>
        </w:rPr>
        <w:t>uzione dell'opera progettata e la garanzia copre, oltre ai rischi professionali, anche il rischio per il maggior costo per le varianti di cui all'</w:t>
      </w:r>
      <w:hyperlink r:id="rId21" w:history="1">
        <w:r w:rsidR="000F7F03" w:rsidRPr="00F644C1">
          <w:rPr>
            <w:rFonts w:ascii="Book Antiqua" w:eastAsia="Times New Roman" w:hAnsi="Book Antiqua" w:cs="Times New Roman"/>
            <w:i/>
            <w:color w:val="0000FF"/>
            <w:u w:val="single"/>
            <w:lang w:eastAsia="it-IT"/>
          </w:rPr>
          <w:t>articolo 132, comma 1, lettera e), del codice</w:t>
        </w:r>
      </w:hyperlink>
      <w:r w:rsidR="000F7F03" w:rsidRPr="000F7F03">
        <w:rPr>
          <w:rFonts w:ascii="Book Antiqua" w:eastAsia="Times New Roman" w:hAnsi="Book Antiqua" w:cs="Times New Roman"/>
          <w:i/>
          <w:lang w:eastAsia="it-IT"/>
        </w:rPr>
        <w:t>.</w:t>
      </w:r>
    </w:p>
    <w:p w:rsidR="000F7F03" w:rsidRPr="000F7F03" w:rsidRDefault="000F7F03" w:rsidP="00BA1E3A">
      <w:pPr>
        <w:jc w:val="both"/>
        <w:rPr>
          <w:rFonts w:ascii="Book Antiqua" w:hAnsi="Book Antiqua"/>
          <w:b/>
        </w:rPr>
      </w:pPr>
    </w:p>
    <w:p w:rsidR="00EB3FD7" w:rsidRPr="000F7F03" w:rsidRDefault="00EB3FD7" w:rsidP="00BA1E3A">
      <w:pPr>
        <w:jc w:val="both"/>
        <w:rPr>
          <w:rFonts w:ascii="Book Antiqua" w:hAnsi="Book Antiqua"/>
          <w:b/>
        </w:rPr>
      </w:pPr>
    </w:p>
    <w:sectPr w:rsidR="00EB3FD7" w:rsidRPr="000F7F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793"/>
    <w:rsid w:val="000F7F03"/>
    <w:rsid w:val="00433FF5"/>
    <w:rsid w:val="00853D53"/>
    <w:rsid w:val="00921F31"/>
    <w:rsid w:val="009706A3"/>
    <w:rsid w:val="00BA1E3A"/>
    <w:rsid w:val="00CB0793"/>
    <w:rsid w:val="00EB3FD7"/>
    <w:rsid w:val="00F644C1"/>
    <w:rsid w:val="00FF46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21F3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art">
    <w:name w:val="provv_numart"/>
    <w:basedOn w:val="Carpredefinitoparagrafo"/>
    <w:rsid w:val="00921F31"/>
  </w:style>
  <w:style w:type="character" w:customStyle="1" w:styleId="provvrubrica">
    <w:name w:val="provv_rubrica"/>
    <w:basedOn w:val="Carpredefinitoparagrafo"/>
    <w:rsid w:val="00921F31"/>
  </w:style>
  <w:style w:type="character" w:customStyle="1" w:styleId="linkneltesto">
    <w:name w:val="link_nel_testo"/>
    <w:basedOn w:val="Carpredefinitoparagrafo"/>
    <w:rsid w:val="00921F31"/>
  </w:style>
  <w:style w:type="character" w:customStyle="1" w:styleId="provvvigore">
    <w:name w:val="provv_vigore"/>
    <w:basedOn w:val="Carpredefinitoparagrafo"/>
    <w:rsid w:val="00921F31"/>
  </w:style>
  <w:style w:type="paragraph" w:customStyle="1" w:styleId="provvr0">
    <w:name w:val="provv_r0"/>
    <w:basedOn w:val="Normale"/>
    <w:rsid w:val="00921F3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921F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21F3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art">
    <w:name w:val="provv_numart"/>
    <w:basedOn w:val="Carpredefinitoparagrafo"/>
    <w:rsid w:val="00921F31"/>
  </w:style>
  <w:style w:type="character" w:customStyle="1" w:styleId="provvrubrica">
    <w:name w:val="provv_rubrica"/>
    <w:basedOn w:val="Carpredefinitoparagrafo"/>
    <w:rsid w:val="00921F31"/>
  </w:style>
  <w:style w:type="character" w:customStyle="1" w:styleId="linkneltesto">
    <w:name w:val="link_nel_testo"/>
    <w:basedOn w:val="Carpredefinitoparagrafo"/>
    <w:rsid w:val="00921F31"/>
  </w:style>
  <w:style w:type="character" w:customStyle="1" w:styleId="provvvigore">
    <w:name w:val="provv_vigore"/>
    <w:basedOn w:val="Carpredefinitoparagrafo"/>
    <w:rsid w:val="00921F31"/>
  </w:style>
  <w:style w:type="paragraph" w:customStyle="1" w:styleId="provvr0">
    <w:name w:val="provv_r0"/>
    <w:basedOn w:val="Normale"/>
    <w:rsid w:val="00921F3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921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13970">
      <w:bodyDiv w:val="1"/>
      <w:marLeft w:val="0"/>
      <w:marRight w:val="0"/>
      <w:marTop w:val="0"/>
      <w:marBottom w:val="0"/>
      <w:divBdr>
        <w:top w:val="none" w:sz="0" w:space="0" w:color="auto"/>
        <w:left w:val="none" w:sz="0" w:space="0" w:color="auto"/>
        <w:bottom w:val="none" w:sz="0" w:space="0" w:color="auto"/>
        <w:right w:val="none" w:sz="0" w:space="0" w:color="auto"/>
      </w:divBdr>
    </w:div>
    <w:div w:id="1529679351">
      <w:bodyDiv w:val="1"/>
      <w:marLeft w:val="0"/>
      <w:marRight w:val="0"/>
      <w:marTop w:val="0"/>
      <w:marBottom w:val="0"/>
      <w:divBdr>
        <w:top w:val="none" w:sz="0" w:space="0" w:color="auto"/>
        <w:left w:val="none" w:sz="0" w:space="0" w:color="auto"/>
        <w:bottom w:val="none" w:sz="0" w:space="0" w:color="auto"/>
        <w:right w:val="none" w:sz="0" w:space="0" w:color="auto"/>
      </w:divBdr>
      <w:divsChild>
        <w:div w:id="495614852">
          <w:marLeft w:val="0"/>
          <w:marRight w:val="0"/>
          <w:marTop w:val="0"/>
          <w:marBottom w:val="0"/>
          <w:divBdr>
            <w:top w:val="none" w:sz="0" w:space="0" w:color="auto"/>
            <w:left w:val="none" w:sz="0" w:space="0" w:color="auto"/>
            <w:bottom w:val="none" w:sz="0" w:space="0" w:color="auto"/>
            <w:right w:val="none" w:sz="0" w:space="0" w:color="auto"/>
          </w:divBdr>
        </w:div>
        <w:div w:id="692996759">
          <w:marLeft w:val="0"/>
          <w:marRight w:val="0"/>
          <w:marTop w:val="0"/>
          <w:marBottom w:val="0"/>
          <w:divBdr>
            <w:top w:val="none" w:sz="0" w:space="0" w:color="auto"/>
            <w:left w:val="none" w:sz="0" w:space="0" w:color="auto"/>
            <w:bottom w:val="none" w:sz="0" w:space="0" w:color="auto"/>
            <w:right w:val="none" w:sz="0" w:space="0" w:color="auto"/>
          </w:divBdr>
        </w:div>
        <w:div w:id="419521562">
          <w:marLeft w:val="0"/>
          <w:marRight w:val="0"/>
          <w:marTop w:val="0"/>
          <w:marBottom w:val="0"/>
          <w:divBdr>
            <w:top w:val="none" w:sz="0" w:space="0" w:color="auto"/>
            <w:left w:val="none" w:sz="0" w:space="0" w:color="auto"/>
            <w:bottom w:val="none" w:sz="0" w:space="0" w:color="auto"/>
            <w:right w:val="none" w:sz="0" w:space="0" w:color="auto"/>
          </w:divBdr>
        </w:div>
        <w:div w:id="1575972954">
          <w:marLeft w:val="0"/>
          <w:marRight w:val="0"/>
          <w:marTop w:val="0"/>
          <w:marBottom w:val="0"/>
          <w:divBdr>
            <w:top w:val="none" w:sz="0" w:space="0" w:color="auto"/>
            <w:left w:val="none" w:sz="0" w:space="0" w:color="auto"/>
            <w:bottom w:val="none" w:sz="0" w:space="0" w:color="auto"/>
            <w:right w:val="none" w:sz="0" w:space="0" w:color="auto"/>
          </w:divBdr>
        </w:div>
        <w:div w:id="172316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744758ART138" TargetMode="External"/><Relationship Id="rId13" Type="http://schemas.openxmlformats.org/officeDocument/2006/relationships/hyperlink" Target="http://bd01.leggiditalia.it/cgi-bin/FulShow?TIPO=5&amp;NOTXT=1&amp;KEY=01LX0000744758ART143" TargetMode="External"/><Relationship Id="rId18" Type="http://schemas.openxmlformats.org/officeDocument/2006/relationships/hyperlink" Target="http://bd01.leggiditalia.it/cgi-bin/FulShow?TIPO=5&amp;NOTXT=1&amp;KEY=01LX0000401301ART54" TargetMode="External"/><Relationship Id="rId3" Type="http://schemas.openxmlformats.org/officeDocument/2006/relationships/settings" Target="settings.xml"/><Relationship Id="rId21" Type="http://schemas.openxmlformats.org/officeDocument/2006/relationships/hyperlink" Target="http://bd01.leggiditalia.it/cgi-bin/FulShow?TIPO=5&amp;NOTXT=1&amp;KEY=01LX0000401301ART133" TargetMode="External"/><Relationship Id="rId7" Type="http://schemas.openxmlformats.org/officeDocument/2006/relationships/hyperlink" Target="http://bd01.leggiditalia.it/cgi-bin/FulShow?TIPO=5&amp;NOTXT=1&amp;KEY=01LX0000401301ART29" TargetMode="External"/><Relationship Id="rId12" Type="http://schemas.openxmlformats.org/officeDocument/2006/relationships/hyperlink" Target="http://bd01.leggiditalia.it/cgi-bin/FulShow?TIPO=5&amp;NOTXT=1&amp;KEY=01LX0000744758ART143" TargetMode="External"/><Relationship Id="rId17" Type="http://schemas.openxmlformats.org/officeDocument/2006/relationships/hyperlink" Target="http://bd01.leggiditalia.it/cgi-bin/FulShow?TIPO=5&amp;NOTXT=1&amp;KEY=01LX0000401301ART112" TargetMode="External"/><Relationship Id="rId2" Type="http://schemas.microsoft.com/office/2007/relationships/stylesWithEffects" Target="stylesWithEffects.xml"/><Relationship Id="rId16" Type="http://schemas.openxmlformats.org/officeDocument/2006/relationships/hyperlink" Target="http://bd01.leggiditalia.it/cgi-bin/FulShow?TIPO=5&amp;NOTXT=1&amp;KEY=01LX0000401301ART29" TargetMode="External"/><Relationship Id="rId20" Type="http://schemas.openxmlformats.org/officeDocument/2006/relationships/hyperlink" Target="http://bd01.leggiditalia.it/cgi-bin/FulShow?TIPO=5&amp;NOTXT=1&amp;KEY=01LX0000401301ART243" TargetMode="External"/><Relationship Id="rId1" Type="http://schemas.openxmlformats.org/officeDocument/2006/relationships/styles" Target="styles.xml"/><Relationship Id="rId6" Type="http://schemas.openxmlformats.org/officeDocument/2006/relationships/hyperlink" Target="http://bd01.leggiditalia.it/cgi-bin/FulShow?TIPO=5&amp;NOTXT=1&amp;KEY=01LX0000401301ART29" TargetMode="External"/><Relationship Id="rId11" Type="http://schemas.openxmlformats.org/officeDocument/2006/relationships/hyperlink" Target="http://bd01.leggiditalia.it/cgi-bin/FulShow?TIPO=5&amp;NOTXT=1&amp;KEY=01LX0000744758ART139" TargetMode="External"/><Relationship Id="rId5" Type="http://schemas.openxmlformats.org/officeDocument/2006/relationships/hyperlink" Target="http://bd01.leggiditalia.it/cgi-bin/FulShow?TIPO=5&amp;NOTXT=1&amp;KEY=01LX0000401301ART133" TargetMode="External"/><Relationship Id="rId15" Type="http://schemas.openxmlformats.org/officeDocument/2006/relationships/hyperlink" Target="http://bd01.leggiditalia.it/cgi-bin/FulShow?TIPO=5&amp;NOTXT=1&amp;KEY=01LX0000744758ART219" TargetMode="External"/><Relationship Id="rId23" Type="http://schemas.openxmlformats.org/officeDocument/2006/relationships/theme" Target="theme/theme1.xml"/><Relationship Id="rId10" Type="http://schemas.openxmlformats.org/officeDocument/2006/relationships/hyperlink" Target="http://bd01.leggiditalia.it/cgi-bin/FulShow?TIPO=5&amp;NOTXT=1&amp;KEY=01LX0000744758ART138" TargetMode="External"/><Relationship Id="rId19" Type="http://schemas.openxmlformats.org/officeDocument/2006/relationships/hyperlink" Target="http://bd01.leggiditalia.it/cgi-bin/FulShow?TIPO=5&amp;NOTXT=1&amp;KEY=01LX0000401301ART54"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744758ART139" TargetMode="External"/><Relationship Id="rId14" Type="http://schemas.openxmlformats.org/officeDocument/2006/relationships/hyperlink" Target="http://bd01.leggiditalia.it/cgi-bin/FulShow?TIPO=5&amp;NOTXT=1&amp;KEY=01LX0000744758ART141"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2312</Words>
  <Characters>13183</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Anteo Massone</dc:creator>
  <cp:keywords/>
  <dc:description/>
  <cp:lastModifiedBy>Anteo Massone</cp:lastModifiedBy>
  <cp:revision>4</cp:revision>
  <dcterms:created xsi:type="dcterms:W3CDTF">2013-11-12T10:48:00Z</dcterms:created>
  <dcterms:modified xsi:type="dcterms:W3CDTF">2013-11-12T11:39:00Z</dcterms:modified>
</cp:coreProperties>
</file>